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Navios Maritime Holdings Inc.</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(Name of Issuer)</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Y62197119</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(CUSIP Number)</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December 31, 2023</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5"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Rule 13d-1(b)</w:t>
      </w:r>
    </w:p>
    <w:p>
      <w:pPr>
        <w:spacing w:after="0" w:line="229"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Rule 13d-1(c)</w:t>
      </w:r>
    </w:p>
    <w:p>
      <w:pPr>
        <w:spacing w:after="0" w:line="233" w:lineRule="exact"/>
        <w:rPr>
          <w:sz w:val="24"/>
          <w:szCs w:val="24"/>
          <w:color w:val="auto"/>
        </w:rPr>
      </w:pPr>
    </w:p>
    <w:p>
      <w:pPr>
        <w:ind w:left="780" w:hanging="124"/>
        <w:spacing w:after="0"/>
        <w:tabs>
          <w:tab w:leader="none" w:pos="78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Rule 13d-1(d)</w:t>
      </w:r>
    </w:p>
    <w:p>
      <w:pPr>
        <w:spacing w:after="0" w:line="229" w:lineRule="exact"/>
        <w:rPr>
          <w:rFonts w:ascii="Times New Roman" w:cs="Times New Roman" w:eastAsia="Times New Roman" w:hAnsi="Times New Roman"/>
          <w:sz w:val="20"/>
          <w:szCs w:val="20"/>
          <w:color w:val="auto"/>
        </w:rPr>
      </w:pPr>
    </w:p>
    <w:p>
      <w:pPr>
        <w:ind w:right="340"/>
        <w:spacing w:after="0" w:line="295"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1"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184" w:lineRule="exact"/>
        <w:rPr>
          <w:sz w:val="24"/>
          <w:szCs w:val="24"/>
          <w:color w:val="auto"/>
        </w:rPr>
      </w:pPr>
    </w:p>
    <w:p>
      <w:pPr>
        <w:ind w:right="260"/>
        <w:spacing w:after="0" w:line="273" w:lineRule="auto"/>
        <w:rPr>
          <w:sz w:val="20"/>
          <w:szCs w:val="20"/>
          <w:color w:val="auto"/>
        </w:rPr>
      </w:pPr>
      <w:r>
        <w:rPr>
          <w:rFonts w:ascii="Times New Roman" w:cs="Times New Roman" w:eastAsia="Times New Roman" w:hAnsi="Times New Roman"/>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7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00"/>
          </w:cols>
          <w:pgMar w:left="320" w:top="450"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Y62197119</w:t>
      </w: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00" w:lineRule="exact"/>
        <w:rPr>
          <w:rFonts w:ascii="Times New Roman" w:cs="Times New Roman" w:eastAsia="Times New Roman" w:hAnsi="Times New Roman"/>
          <w:sz w:val="20"/>
          <w:szCs w:val="20"/>
          <w:color w:val="auto"/>
        </w:rPr>
      </w:pPr>
    </w:p>
    <w:p>
      <w:pPr>
        <w:spacing w:after="0" w:line="254"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Beryl Capital Management LLC</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5"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9"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-882650</wp:posOffset>
            </wp:positionV>
            <wp:extent cx="3733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3380" cy="8890"/>
                    </a:xfrm>
                    <a:prstGeom prst="rect">
                      <a:avLst/>
                    </a:prstGeom>
                    <a:noFill/>
                  </pic:spPr>
                </pic:pic>
              </a:graphicData>
            </a:graphic>
          </wp:anchor>
        </w:drawing>
      </w: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Number of</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2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Shares</w:t>
            </w:r>
          </w:p>
        </w:tc>
        <w:tc>
          <w:tcPr>
            <w:tcW w:w="620" w:type="dxa"/>
            <w:vAlign w:val="bottom"/>
          </w:tcPr>
          <w:p>
            <w:pPr>
              <w:spacing w:after="0"/>
              <w:rPr>
                <w:sz w:val="19"/>
                <w:szCs w:val="19"/>
                <w:color w:val="auto"/>
              </w:rPr>
            </w:pPr>
          </w:p>
        </w:tc>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Beneficially</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Owned by</w:t>
            </w:r>
          </w:p>
        </w:tc>
        <w:tc>
          <w:tcPr>
            <w:tcW w:w="620" w:type="dxa"/>
            <w:vAlign w:val="bottom"/>
          </w:tcPr>
          <w:p>
            <w:pPr>
              <w:spacing w:after="0"/>
              <w:rPr>
                <w:sz w:val="19"/>
                <w:szCs w:val="19"/>
                <w:color w:val="auto"/>
              </w:rPr>
            </w:pPr>
          </w:p>
        </w:tc>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5"/>
        </w:trPr>
        <w:tc>
          <w:tcPr>
            <w:tcW w:w="170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Each Reporting</w:t>
            </w:r>
          </w:p>
        </w:tc>
        <w:tc>
          <w:tcPr>
            <w:tcW w:w="6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7.</w:t>
            </w: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Person With:</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24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8"/>
              </w:rPr>
              <w:t xml:space="preserve">Shared Dispositive Power </w:t>
            </w:r>
            <w:r>
              <w:rPr>
                <w:rFonts w:ascii="Times New Roman" w:cs="Times New Roman" w:eastAsia="Times New Roman" w:hAnsi="Times New Roman"/>
                <w:sz w:val="20"/>
                <w:szCs w:val="20"/>
                <w:b w:val="1"/>
                <w:bCs w:val="1"/>
                <w:color w:val="auto"/>
                <w:w w:val="98"/>
              </w:rPr>
              <w:t>0</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0</w:t>
      </w:r>
    </w:p>
    <w:p>
      <w:pPr>
        <w:spacing w:after="0" w:line="233" w:lineRule="exact"/>
        <w:rPr>
          <w:rFonts w:ascii="Times New Roman" w:cs="Times New Roman" w:eastAsia="Times New Roman" w:hAnsi="Times New Roman"/>
          <w:sz w:val="20"/>
          <w:szCs w:val="20"/>
          <w:color w:val="auto"/>
        </w:rPr>
      </w:pPr>
    </w:p>
    <w:p>
      <w:pPr>
        <w:ind w:left="1300" w:right="2999" w:hanging="644"/>
        <w:spacing w:after="0" w:line="269" w:lineRule="auto"/>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0%</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IA, OO</w:t>
      </w:r>
    </w:p>
    <w:p>
      <w:pPr>
        <w:spacing w:after="0" w:line="2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139"/>
          </w:cols>
          <w:pgMar w:left="320" w:top="229"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Y62197119</w:t>
      </w: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00" w:lineRule="exact"/>
        <w:rPr>
          <w:rFonts w:ascii="Times New Roman" w:cs="Times New Roman" w:eastAsia="Times New Roman" w:hAnsi="Times New Roman"/>
          <w:sz w:val="20"/>
          <w:szCs w:val="20"/>
          <w:color w:val="auto"/>
        </w:rPr>
      </w:pPr>
    </w:p>
    <w:p>
      <w:pPr>
        <w:spacing w:after="0" w:line="254"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Beryl Capital Management LP</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5"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9"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-882650</wp:posOffset>
            </wp:positionV>
            <wp:extent cx="3733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73380" cy="8890"/>
                    </a:xfrm>
                    <a:prstGeom prst="rect">
                      <a:avLst/>
                    </a:prstGeom>
                    <a:noFill/>
                  </pic:spPr>
                </pic:pic>
              </a:graphicData>
            </a:graphic>
          </wp:anchor>
        </w:drawing>
      </w: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Number of</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2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Shares</w:t>
            </w:r>
          </w:p>
        </w:tc>
        <w:tc>
          <w:tcPr>
            <w:tcW w:w="620" w:type="dxa"/>
            <w:vAlign w:val="bottom"/>
          </w:tcPr>
          <w:p>
            <w:pPr>
              <w:spacing w:after="0"/>
              <w:rPr>
                <w:sz w:val="19"/>
                <w:szCs w:val="19"/>
                <w:color w:val="auto"/>
              </w:rPr>
            </w:pPr>
          </w:p>
        </w:tc>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Beneficially</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Owned by</w:t>
            </w:r>
          </w:p>
        </w:tc>
        <w:tc>
          <w:tcPr>
            <w:tcW w:w="620" w:type="dxa"/>
            <w:vAlign w:val="bottom"/>
          </w:tcPr>
          <w:p>
            <w:pPr>
              <w:spacing w:after="0"/>
              <w:rPr>
                <w:sz w:val="19"/>
                <w:szCs w:val="19"/>
                <w:color w:val="auto"/>
              </w:rPr>
            </w:pPr>
          </w:p>
        </w:tc>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5"/>
        </w:trPr>
        <w:tc>
          <w:tcPr>
            <w:tcW w:w="170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Each Reporting</w:t>
            </w:r>
          </w:p>
        </w:tc>
        <w:tc>
          <w:tcPr>
            <w:tcW w:w="6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7.</w:t>
            </w: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Person With:</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24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8"/>
              </w:rPr>
              <w:t xml:space="preserve">Shared Dispositive Power </w:t>
            </w:r>
            <w:r>
              <w:rPr>
                <w:rFonts w:ascii="Times New Roman" w:cs="Times New Roman" w:eastAsia="Times New Roman" w:hAnsi="Times New Roman"/>
                <w:sz w:val="20"/>
                <w:szCs w:val="20"/>
                <w:b w:val="1"/>
                <w:bCs w:val="1"/>
                <w:color w:val="auto"/>
                <w:w w:val="98"/>
              </w:rPr>
              <w:t>0</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0</w:t>
      </w:r>
    </w:p>
    <w:p>
      <w:pPr>
        <w:spacing w:after="0" w:line="233" w:lineRule="exact"/>
        <w:rPr>
          <w:rFonts w:ascii="Times New Roman" w:cs="Times New Roman" w:eastAsia="Times New Roman" w:hAnsi="Times New Roman"/>
          <w:sz w:val="20"/>
          <w:szCs w:val="20"/>
          <w:color w:val="auto"/>
        </w:rPr>
      </w:pPr>
    </w:p>
    <w:p>
      <w:pPr>
        <w:ind w:left="1300" w:right="2999" w:hanging="644"/>
        <w:spacing w:after="0" w:line="269" w:lineRule="auto"/>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0%</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IA, PN</w:t>
      </w:r>
    </w:p>
    <w:p>
      <w:pPr>
        <w:spacing w:after="0" w:line="2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139"/>
          </w:cols>
          <w:pgMar w:left="320" w:top="229"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Y62197119</w:t>
      </w: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00" w:lineRule="exact"/>
        <w:rPr>
          <w:rFonts w:ascii="Times New Roman" w:cs="Times New Roman" w:eastAsia="Times New Roman" w:hAnsi="Times New Roman"/>
          <w:sz w:val="20"/>
          <w:szCs w:val="20"/>
          <w:color w:val="auto"/>
        </w:rPr>
      </w:pPr>
    </w:p>
    <w:p>
      <w:pPr>
        <w:spacing w:after="0" w:line="254"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Beryl Capital Partners II LP</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spacing w:after="0"/>
        <w:tabs>
          <w:tab w:leader="none" w:pos="0" w:val="left"/>
        </w:tabs>
        <w:numPr>
          <w:ilvl w:val="1"/>
          <w:numId w:val="6"/>
        </w:numPr>
        <w:rPr>
          <w:rFonts w:ascii="Times New Roman" w:cs="Times New Roman" w:eastAsia="Times New Roman" w:hAnsi="Times New Roman"/>
          <w:sz w:val="20"/>
          <w:szCs w:val="20"/>
          <w:color w:val="auto"/>
        </w:rPr>
      </w:pP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9"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-882650</wp:posOffset>
            </wp:positionV>
            <wp:extent cx="2825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575" cy="8890"/>
                    </a:xfrm>
                    <a:prstGeom prst="rect">
                      <a:avLst/>
                    </a:prstGeom>
                    <a:noFill/>
                  </pic:spPr>
                </pic:pic>
              </a:graphicData>
            </a:graphic>
          </wp:anchor>
        </w:drawing>
      </w: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Number of</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2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Shares</w:t>
            </w:r>
          </w:p>
        </w:tc>
        <w:tc>
          <w:tcPr>
            <w:tcW w:w="620" w:type="dxa"/>
            <w:vAlign w:val="bottom"/>
          </w:tcPr>
          <w:p>
            <w:pPr>
              <w:spacing w:after="0"/>
              <w:rPr>
                <w:sz w:val="19"/>
                <w:szCs w:val="19"/>
                <w:color w:val="auto"/>
              </w:rPr>
            </w:pPr>
          </w:p>
        </w:tc>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Beneficially</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Owned by</w:t>
            </w:r>
          </w:p>
        </w:tc>
        <w:tc>
          <w:tcPr>
            <w:tcW w:w="620" w:type="dxa"/>
            <w:vAlign w:val="bottom"/>
          </w:tcPr>
          <w:p>
            <w:pPr>
              <w:spacing w:after="0"/>
              <w:rPr>
                <w:sz w:val="19"/>
                <w:szCs w:val="19"/>
                <w:color w:val="auto"/>
              </w:rPr>
            </w:pPr>
          </w:p>
        </w:tc>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5"/>
        </w:trPr>
        <w:tc>
          <w:tcPr>
            <w:tcW w:w="170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Each Reporting</w:t>
            </w:r>
          </w:p>
        </w:tc>
        <w:tc>
          <w:tcPr>
            <w:tcW w:w="6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7.</w:t>
            </w: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Person With:</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24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8"/>
              </w:rPr>
              <w:t xml:space="preserve">Shared Dispositive Power </w:t>
            </w:r>
            <w:r>
              <w:rPr>
                <w:rFonts w:ascii="Times New Roman" w:cs="Times New Roman" w:eastAsia="Times New Roman" w:hAnsi="Times New Roman"/>
                <w:sz w:val="20"/>
                <w:szCs w:val="20"/>
                <w:b w:val="1"/>
                <w:bCs w:val="1"/>
                <w:color w:val="auto"/>
                <w:w w:val="98"/>
              </w:rPr>
              <w:t>0</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0</w:t>
      </w:r>
    </w:p>
    <w:p>
      <w:pPr>
        <w:spacing w:after="0" w:line="233" w:lineRule="exact"/>
        <w:rPr>
          <w:rFonts w:ascii="Times New Roman" w:cs="Times New Roman" w:eastAsia="Times New Roman" w:hAnsi="Times New Roman"/>
          <w:sz w:val="20"/>
          <w:szCs w:val="20"/>
          <w:color w:val="auto"/>
        </w:rPr>
      </w:pPr>
    </w:p>
    <w:p>
      <w:pPr>
        <w:ind w:left="1300" w:right="2999" w:hanging="644"/>
        <w:spacing w:after="0" w:line="269" w:lineRule="auto"/>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0%</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PN</w:t>
      </w:r>
    </w:p>
    <w:p>
      <w:pPr>
        <w:spacing w:after="0" w:line="2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139"/>
          </w:cols>
          <w:pgMar w:left="320" w:top="229"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Y62197119</w:t>
      </w:r>
    </w:p>
    <w:p>
      <w:pPr>
        <w:spacing w:after="0" w:line="234"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00" w:lineRule="exact"/>
        <w:rPr>
          <w:rFonts w:ascii="Times New Roman" w:cs="Times New Roman" w:eastAsia="Times New Roman" w:hAnsi="Times New Roman"/>
          <w:sz w:val="20"/>
          <w:szCs w:val="20"/>
          <w:color w:val="auto"/>
        </w:rPr>
      </w:pPr>
    </w:p>
    <w:p>
      <w:pPr>
        <w:spacing w:after="0" w:line="254"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David A. Witkin</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5"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9"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-882650</wp:posOffset>
            </wp:positionV>
            <wp:extent cx="3733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3380" cy="8255"/>
                    </a:xfrm>
                    <a:prstGeom prst="rect">
                      <a:avLst/>
                    </a:prstGeom>
                    <a:noFill/>
                  </pic:spPr>
                </pic:pic>
              </a:graphicData>
            </a:graphic>
          </wp:anchor>
        </w:drawing>
      </w: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233"/>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Number of</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2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Shares</w:t>
            </w:r>
          </w:p>
        </w:tc>
        <w:tc>
          <w:tcPr>
            <w:tcW w:w="620" w:type="dxa"/>
            <w:vAlign w:val="bottom"/>
          </w:tcPr>
          <w:p>
            <w:pPr>
              <w:spacing w:after="0"/>
              <w:rPr>
                <w:sz w:val="19"/>
                <w:szCs w:val="19"/>
                <w:color w:val="auto"/>
              </w:rPr>
            </w:pPr>
          </w:p>
        </w:tc>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Beneficially</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Owned by</w:t>
            </w:r>
          </w:p>
        </w:tc>
        <w:tc>
          <w:tcPr>
            <w:tcW w:w="620" w:type="dxa"/>
            <w:vAlign w:val="bottom"/>
          </w:tcPr>
          <w:p>
            <w:pPr>
              <w:spacing w:after="0"/>
              <w:rPr>
                <w:sz w:val="19"/>
                <w:szCs w:val="19"/>
                <w:color w:val="auto"/>
              </w:rPr>
            </w:pPr>
          </w:p>
        </w:tc>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6"/>
        </w:trPr>
        <w:tc>
          <w:tcPr>
            <w:tcW w:w="170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Each Reporting</w:t>
            </w:r>
          </w:p>
        </w:tc>
        <w:tc>
          <w:tcPr>
            <w:tcW w:w="6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7.</w:t>
            </w: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Person With:</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24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8"/>
              </w:rPr>
              <w:t xml:space="preserve">Shared Dispositive Power </w:t>
            </w:r>
            <w:r>
              <w:rPr>
                <w:rFonts w:ascii="Times New Roman" w:cs="Times New Roman" w:eastAsia="Times New Roman" w:hAnsi="Times New Roman"/>
                <w:sz w:val="20"/>
                <w:szCs w:val="20"/>
                <w:b w:val="1"/>
                <w:bCs w:val="1"/>
                <w:color w:val="auto"/>
                <w:w w:val="98"/>
              </w:rPr>
              <w:t>0</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0</w:t>
      </w:r>
    </w:p>
    <w:p>
      <w:pPr>
        <w:spacing w:after="0" w:line="233" w:lineRule="exact"/>
        <w:rPr>
          <w:rFonts w:ascii="Times New Roman" w:cs="Times New Roman" w:eastAsia="Times New Roman" w:hAnsi="Times New Roman"/>
          <w:sz w:val="20"/>
          <w:szCs w:val="20"/>
          <w:color w:val="auto"/>
        </w:rPr>
      </w:pPr>
    </w:p>
    <w:p>
      <w:pPr>
        <w:ind w:left="1300" w:right="2999" w:hanging="644"/>
        <w:spacing w:after="0" w:line="269" w:lineRule="auto"/>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0%</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IN, HC</w:t>
      </w:r>
    </w:p>
    <w:p>
      <w:pPr>
        <w:spacing w:after="0" w:line="2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139"/>
          </w:cols>
          <w:pgMar w:left="320" w:top="229"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CUSIP No. Y62197119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w:t>
      </w:r>
    </w:p>
    <w:p>
      <w:pPr>
        <w:spacing w:after="0" w:line="207"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Issuer</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Navios Maritime Holdings Inc.</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of Issuer's Principal Executive Offices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Strathvale House, 90 N Church Street, P.O. Box 309, Grand Cayman, KY1-1104 Cayman Islands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w:t>
      </w:r>
    </w:p>
    <w:p>
      <w:pPr>
        <w:spacing w:after="0" w:line="233"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names of the persons filing this statement are:</w:t>
      </w:r>
    </w:p>
    <w:p>
      <w:pPr>
        <w:spacing w:after="0" w:line="225" w:lineRule="exact"/>
        <w:rPr>
          <w:rFonts w:ascii="Times New Roman" w:cs="Times New Roman" w:eastAsia="Times New Roman" w:hAnsi="Times New Roman"/>
          <w:sz w:val="20"/>
          <w:szCs w:val="20"/>
          <w:color w:val="auto"/>
        </w:rPr>
      </w:pPr>
    </w:p>
    <w:p>
      <w:pPr>
        <w:ind w:left="1300"/>
        <w:spacing w:after="0" w:line="264"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b w:val="1"/>
          <w:bCs w:val="1"/>
          <w:color w:val="auto"/>
        </w:rPr>
        <w:t>Beryl Capital Management LLC (“Beryl”), Beryl Capital Management LP (“Beryl GP”), Beryl Capital Partners II LP (the “Partnership”) and David A. Witkin (collectively, the “Filers”). Each Filer disclaims beneficial ownership of the Stock except to the extent of that person’s pecuniary interest therein. In addition, the filing of this Schedule 13G on behalf of the Partnership should not be construed as an admission that it is, and it disclaims that it is, a beneficial owner, as defined in Rule 13d-3 under the Act, of any of the Stock covered by this Schedule 13G.</w:t>
      </w:r>
    </w:p>
    <w:p>
      <w:pPr>
        <w:spacing w:after="0" w:line="17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business office of the Filers is located at:</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225 Avenue I, Suite 205, Redondo Beach, CA 90277</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citizenship of Filers, see Item 4 of the cover sheet for each Filer.</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statement relates to the Issuer’s </w:t>
      </w:r>
      <w:r>
        <w:rPr>
          <w:rFonts w:ascii="Times New Roman" w:cs="Times New Roman" w:eastAsia="Times New Roman" w:hAnsi="Times New Roman"/>
          <w:sz w:val="20"/>
          <w:szCs w:val="20"/>
          <w:b w:val="1"/>
          <w:bCs w:val="1"/>
          <w:color w:val="auto"/>
        </w:rPr>
        <w:t>Common Stock, par value $0.0001 per share</w:t>
      </w:r>
      <w:r>
        <w:rPr>
          <w:rFonts w:ascii="Times New Roman" w:cs="Times New Roman" w:eastAsia="Times New Roman" w:hAnsi="Times New Roman"/>
          <w:sz w:val="20"/>
          <w:szCs w:val="20"/>
          <w:color w:val="auto"/>
        </w:rPr>
        <w:t xml:space="preserve"> (the "Stock").</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CUSIP number of the Issuer is: </w:t>
      </w:r>
      <w:r>
        <w:rPr>
          <w:rFonts w:ascii="Times New Roman" w:cs="Times New Roman" w:eastAsia="Times New Roman" w:hAnsi="Times New Roman"/>
          <w:sz w:val="20"/>
          <w:szCs w:val="20"/>
          <w:b w:val="1"/>
          <w:bCs w:val="1"/>
          <w:color w:val="auto"/>
        </w:rPr>
        <w:t>Y62197119</w:t>
      </w:r>
    </w:p>
    <w:p>
      <w:pPr>
        <w:spacing w:after="0" w:line="200" w:lineRule="exact"/>
        <w:rPr>
          <w:sz w:val="20"/>
          <w:szCs w:val="20"/>
          <w:color w:val="auto"/>
        </w:rPr>
      </w:pPr>
    </w:p>
    <w:p>
      <w:pPr>
        <w:spacing w:after="0" w:line="2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80"/>
          </w:cols>
          <w:pgMar w:left="320" w:top="229" w:right="499" w:bottom="1440" w:gutter="0" w:footer="0" w:header="0"/>
        </w:sectPr>
      </w:pPr>
    </w:p>
    <w:bookmarkStart w:id="6" w:name="page7"/>
    <w:bookmarkEnd w:id="6"/>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Y62197119</w:t>
      </w:r>
    </w:p>
    <w:p>
      <w:pPr>
        <w:sectPr>
          <w:pgSz w:w="11900" w:h="16960" w:orient="portrait"/>
          <w:cols w:equalWidth="0" w:num="1">
            <w:col w:w="11100"/>
          </w:cols>
          <w:pgMar w:left="320" w:top="229" w:right="479" w:bottom="0" w:gutter="0" w:footer="0" w:header="0"/>
        </w:sect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3.</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If this statement is filed pursuant to rule 240.13d-1(b) or 240.13d-2(b) or (c), check whether the person filing is a:</w:t>
      </w:r>
    </w:p>
    <w:p>
      <w:pPr>
        <w:spacing w:after="0" w:line="200" w:lineRule="exact"/>
        <w:rPr>
          <w:sz w:val="20"/>
          <w:szCs w:val="20"/>
          <w:color w:val="auto"/>
        </w:rPr>
      </w:pPr>
    </w:p>
    <w:p>
      <w:pPr>
        <w:sectPr>
          <w:pgSz w:w="11900" w:h="16960" w:orient="portrait"/>
          <w:cols w:equalWidth="0" w:num="2">
            <w:col w:w="600" w:space="700"/>
            <w:col w:w="9800"/>
          </w:cols>
          <w:pgMar w:left="320" w:top="229" w:right="479" w:bottom="0" w:gutter="0" w:footer="0" w:header="0"/>
          <w:type w:val="continuous"/>
        </w:sectPr>
      </w:pPr>
    </w:p>
    <w:p>
      <w:pPr>
        <w:spacing w:after="0" w:line="4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20"/>
          <w:szCs w:val="20"/>
          <w:color w:val="auto"/>
        </w:rPr>
        <w:t>[ ] Broker or dealer registered under section 15 of the Act (15 U.S.C. 78o).</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20"/>
          <w:szCs w:val="20"/>
          <w:color w:val="auto"/>
        </w:rPr>
        <w:t>[ ] Bank as defined in section 3(a)(6) of the Act (15 U.S.C. 78c).</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20"/>
          <w:szCs w:val="20"/>
          <w:color w:val="auto"/>
        </w:rPr>
        <w:t>[ ] Insurance company as defined in section 3(a)(19) of the Act (15 U.S.C. 78c).</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9"/>
          <w:szCs w:val="19"/>
          <w:color w:val="auto"/>
        </w:rPr>
        <w:t>(d)</w:t>
      </w:r>
      <w:r>
        <w:rPr>
          <w:sz w:val="20"/>
          <w:szCs w:val="20"/>
          <w:color w:val="auto"/>
        </w:rPr>
        <w:tab/>
      </w:r>
      <w:r>
        <w:rPr>
          <w:rFonts w:ascii="Times New Roman" w:cs="Times New Roman" w:eastAsia="Times New Roman" w:hAnsi="Times New Roman"/>
          <w:sz w:val="19"/>
          <w:szCs w:val="19"/>
          <w:color w:val="auto"/>
        </w:rPr>
        <w:t>[ ] Investment company registered under section 8 of the Investment Company Act of 1940 (15 U.S.C. 80a-8).</w:t>
      </w:r>
    </w:p>
    <w:p>
      <w:pPr>
        <w:spacing w:after="0" w:line="23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(e)</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 An investment adviser in accordance with section 240.13d-1(b)(1)(ii)(E), as to Beryl and Beryl GP.</w:t>
      </w:r>
    </w:p>
    <w:p>
      <w:pPr>
        <w:spacing w:after="0" w:line="23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(f)</w:t>
      </w:r>
      <w:r>
        <w:rPr>
          <w:sz w:val="20"/>
          <w:szCs w:val="20"/>
          <w:color w:val="auto"/>
        </w:rPr>
        <w:tab/>
      </w:r>
      <w:r>
        <w:rPr>
          <w:rFonts w:ascii="Times New Roman" w:cs="Times New Roman" w:eastAsia="Times New Roman" w:hAnsi="Times New Roman"/>
          <w:sz w:val="20"/>
          <w:szCs w:val="20"/>
          <w:color w:val="auto"/>
        </w:rPr>
        <w:t>[ ] An employee benefit plan or endowment fund in accordance with section 240.13d-1(b)(1)(ii)(F).</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(g)</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 A parent holding company or control person in accordance with 240.13d-1(b)(1)(ii)(G), as to Mr. Witkin.</w:t>
      </w:r>
    </w:p>
    <w:p>
      <w:pPr>
        <w:spacing w:after="0" w:line="23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(h)</w:t>
      </w:r>
      <w:r>
        <w:rPr>
          <w:sz w:val="20"/>
          <w:szCs w:val="20"/>
          <w:color w:val="auto"/>
        </w:rPr>
        <w:tab/>
      </w:r>
      <w:r>
        <w:rPr>
          <w:rFonts w:ascii="Times New Roman" w:cs="Times New Roman" w:eastAsia="Times New Roman" w:hAnsi="Times New Roman"/>
          <w:sz w:val="20"/>
          <w:szCs w:val="20"/>
          <w:color w:val="auto"/>
        </w:rPr>
        <w:t>[ ] A savings association as defined in section 3(b) of the Federal Deposit Insurance Act (12 U.S.C. 1813).</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9"/>
          <w:szCs w:val="19"/>
          <w:color w:val="auto"/>
        </w:rPr>
        <w:t>(i)</w:t>
      </w:r>
      <w:r>
        <w:rPr>
          <w:sz w:val="20"/>
          <w:szCs w:val="20"/>
          <w:color w:val="auto"/>
        </w:rPr>
        <w:tab/>
      </w:r>
      <w:r>
        <w:rPr>
          <w:rFonts w:ascii="Times New Roman" w:cs="Times New Roman" w:eastAsia="Times New Roman" w:hAnsi="Times New Roman"/>
          <w:sz w:val="19"/>
          <w:szCs w:val="19"/>
          <w:color w:val="auto"/>
        </w:rPr>
        <w:t>[ ] A church plan that is excluded from the definition of an investment company under section 3(c)(14) of the</w:t>
      </w:r>
    </w:p>
    <w:p>
      <w:pPr>
        <w:spacing w:after="0" w:line="3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Investment Company Act of 1940 (15 U.S.C. 80a-3).</w:t>
      </w:r>
    </w:p>
    <w:p>
      <w:pPr>
        <w:spacing w:after="0" w:line="20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(j)</w:t>
      </w:r>
      <w:r>
        <w:rPr>
          <w:sz w:val="20"/>
          <w:szCs w:val="20"/>
          <w:color w:val="auto"/>
        </w:rPr>
        <w:tab/>
      </w:r>
      <w:r>
        <w:rPr>
          <w:rFonts w:ascii="Times New Roman" w:cs="Times New Roman" w:eastAsia="Times New Roman" w:hAnsi="Times New Roman"/>
          <w:sz w:val="20"/>
          <w:szCs w:val="20"/>
          <w:color w:val="auto"/>
        </w:rPr>
        <w:t>[ ] A non-U.S. institution in accordance with §240.13d-1(b)(ii)(J).</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(k)</w:t>
      </w:r>
      <w:r>
        <w:rPr>
          <w:sz w:val="20"/>
          <w:szCs w:val="20"/>
          <w:color w:val="auto"/>
        </w:rPr>
        <w:tab/>
      </w:r>
      <w:r>
        <w:rPr>
          <w:rFonts w:ascii="Times New Roman" w:cs="Times New Roman" w:eastAsia="Times New Roman" w:hAnsi="Times New Roman"/>
          <w:sz w:val="20"/>
          <w:szCs w:val="20"/>
          <w:color w:val="auto"/>
        </w:rPr>
        <w:t>[ ] Group, in accordance with Rule 13d-1(b)(1)(ii)(K).</w:t>
      </w:r>
    </w:p>
    <w:p>
      <w:pPr>
        <w:sectPr>
          <w:pgSz w:w="11900" w:h="16960" w:orient="portrait"/>
          <w:cols w:equalWidth="0" w:num="1">
            <w:col w:w="11100"/>
          </w:cols>
          <w:pgMar w:left="320" w:top="229" w:right="479" w:bottom="0" w:gutter="0" w:footer="0" w:header="0"/>
          <w:type w:val="continuous"/>
        </w:sectPr>
      </w:pPr>
    </w:p>
    <w:p>
      <w:pPr>
        <w:spacing w:after="0" w:line="229" w:lineRule="exact"/>
        <w:rPr>
          <w:sz w:val="20"/>
          <w:szCs w:val="20"/>
          <w:color w:val="auto"/>
        </w:rPr>
      </w:pPr>
    </w:p>
    <w:p>
      <w:pPr>
        <w:ind w:left="660" w:right="1500"/>
        <w:spacing w:after="0" w:line="269" w:lineRule="auto"/>
        <w:rPr>
          <w:sz w:val="20"/>
          <w:szCs w:val="20"/>
          <w:color w:val="auto"/>
        </w:rPr>
      </w:pPr>
      <w:r>
        <w:rPr>
          <w:rFonts w:ascii="Times New Roman" w:cs="Times New Roman" w:eastAsia="Times New Roman" w:hAnsi="Times New Roman"/>
          <w:sz w:val="20"/>
          <w:szCs w:val="20"/>
          <w:color w:val="auto"/>
        </w:rPr>
        <w:t>If filing as a non-U.S. institution in accordance with §240.13d-1(b)(1)(ii)(J), please specify the type of institution _______________________________________________________________.</w:t>
      </w:r>
    </w:p>
    <w:p>
      <w:pPr>
        <w:sectPr>
          <w:pgSz w:w="11900" w:h="16960" w:orient="portrait"/>
          <w:cols w:equalWidth="0" w:num="1">
            <w:col w:w="11100"/>
          </w:cols>
          <w:pgMar w:left="320" w:top="229" w:right="479" w:bottom="0" w:gutter="0" w:footer="0" w:header="0"/>
          <w:type w:val="continuous"/>
        </w:sectPr>
      </w:pP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4.</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Ownership.</w:t>
      </w:r>
    </w:p>
    <w:p>
      <w:pPr>
        <w:spacing w:after="0" w:line="200" w:lineRule="exact"/>
        <w:rPr>
          <w:sz w:val="20"/>
          <w:szCs w:val="20"/>
          <w:color w:val="auto"/>
        </w:rPr>
      </w:pPr>
    </w:p>
    <w:p>
      <w:pPr>
        <w:sectPr>
          <w:pgSz w:w="11900" w:h="16960" w:orient="portrait"/>
          <w:cols w:equalWidth="0" w:num="2">
            <w:col w:w="600" w:space="700"/>
            <w:col w:w="9800"/>
          </w:cols>
          <w:pgMar w:left="320" w:top="229" w:right="479" w:bottom="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Items 5-9 and 11 of the cover page for each Filer.</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33"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 xml:space="preserve">If this statement is being filed to report the fact that as of the date hereof the reporting person has ceased to be the beneficial owner of more than five percent of the class of securities, check the following [ </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 xml:space="preserve"> ].</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300" w:right="240" w:hanging="1295"/>
        <w:spacing w:after="0" w:line="273" w:lineRule="auto"/>
        <w:tabs>
          <w:tab w:leader="none" w:pos="12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 and Classification of the Subsidiary Which Acquired the Security Being Reported on By the Parent Holding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Beryl is the investment adviser to the Funds and other accounts. Beryl is the general partner of Beryl GP, which is the general partner of one or more of the Funds. Mr. Witkin is the control person of Beryl.</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Material to Be Filed as Exhibits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A Joint Filing Agreement.</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9"/>
          <w:szCs w:val="19"/>
          <w:b w:val="1"/>
          <w:bCs w:val="1"/>
          <w:color w:val="auto"/>
        </w:rPr>
        <w:t>Certification of Beryl, Beryl GP and Mr. Witkin.</w:t>
      </w:r>
    </w:p>
    <w:p>
      <w:pPr>
        <w:spacing w:after="0" w:line="233" w:lineRule="exact"/>
        <w:rPr>
          <w:sz w:val="20"/>
          <w:szCs w:val="20"/>
          <w:color w:val="auto"/>
        </w:rPr>
      </w:pPr>
    </w:p>
    <w:p>
      <w:pPr>
        <w:ind w:right="560"/>
        <w:spacing w:after="0" w:line="249"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Certification of the Partnership.</w:t>
      </w:r>
    </w:p>
    <w:p>
      <w:pPr>
        <w:spacing w:after="0" w:line="220" w:lineRule="exact"/>
        <w:rPr>
          <w:sz w:val="20"/>
          <w:szCs w:val="20"/>
          <w:color w:val="auto"/>
        </w:rPr>
      </w:pPr>
    </w:p>
    <w:p>
      <w:pPr>
        <w:ind w:right="560"/>
        <w:spacing w:after="0" w:line="295" w:lineRule="auto"/>
        <w:rPr>
          <w:sz w:val="20"/>
          <w:szCs w:val="20"/>
          <w:color w:val="auto"/>
        </w:rPr>
      </w:pPr>
      <w:r>
        <w:rPr>
          <w:rFonts w:ascii="Times New Roman" w:cs="Times New Roman" w:eastAsia="Times New Roman" w:hAnsi="Times New Roman"/>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w:t>
      </w:r>
    </w:p>
    <w:p>
      <w:pPr>
        <w:sectPr>
          <w:pgSz w:w="11900" w:h="16960" w:orient="portrait"/>
          <w:cols w:equalWidth="0" w:num="1">
            <w:col w:w="11100"/>
          </w:cols>
          <w:pgMar w:left="320" w:top="229" w:right="479" w:bottom="0" w:gutter="0" w:footer="0" w:header="0"/>
          <w:type w:val="continuous"/>
        </w:sectPr>
      </w:pPr>
    </w:p>
    <w:bookmarkStart w:id="7" w:name="page8"/>
    <w:bookmarkEnd w:id="7"/>
    <w:p>
      <w:pPr>
        <w:spacing w:after="0" w:line="268" w:lineRule="auto"/>
        <w:rPr>
          <w:sz w:val="20"/>
          <w:szCs w:val="20"/>
          <w:color w:val="auto"/>
        </w:rPr>
      </w:pPr>
      <w:r>
        <w:rPr>
          <w:rFonts w:ascii="Times New Roman" w:cs="Times New Roman" w:eastAsia="Times New Roman" w:hAnsi="Times New Roman"/>
          <w:sz w:val="20"/>
          <w:szCs w:val="20"/>
          <w:color w:val="auto"/>
        </w:rPr>
        <w:t>and are not held in connection with or as a participant in any transaction having that purpose or effect, other than activities solely in connection with a nomination under § 240.14a-11.</w:t>
      </w:r>
    </w:p>
    <w:p>
      <w:pPr>
        <w:spacing w:after="0" w:line="1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420"/>
          </w:cols>
          <w:pgMar w:left="320" w:top="118" w:right="11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CUSIP No. Y62197119</w:t>
      </w: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SIGNATURE</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8, 2024</w:t>
      </w:r>
    </w:p>
    <w:p>
      <w:pPr>
        <w:spacing w:after="0" w:line="225" w:lineRule="exact"/>
        <w:rPr>
          <w:sz w:val="20"/>
          <w:szCs w:val="20"/>
          <w:color w:val="auto"/>
        </w:rPr>
      </w:pPr>
    </w:p>
    <w:p>
      <w:pPr>
        <w:ind w:left="100"/>
        <w:spacing w:after="0"/>
        <w:tabs>
          <w:tab w:leader="none" w:pos="5840" w:val="left"/>
        </w:tabs>
        <w:rPr>
          <w:sz w:val="20"/>
          <w:szCs w:val="20"/>
          <w:color w:val="auto"/>
        </w:rPr>
      </w:pPr>
      <w:r>
        <w:rPr>
          <w:rFonts w:ascii="Times New Roman" w:cs="Times New Roman" w:eastAsia="Times New Roman" w:hAnsi="Times New Roman"/>
          <w:sz w:val="20"/>
          <w:szCs w:val="20"/>
          <w:b w:val="1"/>
          <w:bCs w:val="1"/>
          <w:color w:val="auto"/>
        </w:rPr>
        <w:t>BERYL CAPITAL MANAGEMENT LLC</w:t>
      </w:r>
      <w:r>
        <w:rPr>
          <w:sz w:val="20"/>
          <w:szCs w:val="20"/>
          <w:color w:val="auto"/>
        </w:rPr>
        <w:tab/>
      </w:r>
      <w:r>
        <w:rPr>
          <w:rFonts w:ascii="Times New Roman" w:cs="Times New Roman" w:eastAsia="Times New Roman" w:hAnsi="Times New Roman"/>
          <w:sz w:val="19"/>
          <w:szCs w:val="19"/>
          <w:b w:val="1"/>
          <w:bCs w:val="1"/>
          <w:color w:val="auto"/>
        </w:rPr>
        <w:t>BERYL CAPITAL MANAGEMENT LP</w:t>
      </w:r>
    </w:p>
    <w:p>
      <w:pPr>
        <w:spacing w:after="0" w:line="233" w:lineRule="exact"/>
        <w:rPr>
          <w:sz w:val="20"/>
          <w:szCs w:val="20"/>
          <w:color w:val="auto"/>
        </w:rPr>
      </w:pPr>
    </w:p>
    <w:p>
      <w:pPr>
        <w:ind w:left="5860"/>
        <w:spacing w:after="0"/>
        <w:tabs>
          <w:tab w:leader="none" w:pos="6380" w:val="left"/>
        </w:tabs>
        <w:rPr>
          <w:sz w:val="20"/>
          <w:szCs w:val="20"/>
          <w:color w:val="auto"/>
        </w:rPr>
      </w:pPr>
      <w:r>
        <w:rPr>
          <w:rFonts w:ascii="Times New Roman" w:cs="Times New Roman" w:eastAsia="Times New Roman" w:hAnsi="Times New Roman"/>
          <w:sz w:val="20"/>
          <w:szCs w:val="20"/>
          <w:color w:val="auto"/>
        </w:rPr>
        <w:t>By:</w:t>
        <w:tab/>
        <w:t>Beryl Capital Management LLC</w:t>
      </w:r>
    </w:p>
    <w:p>
      <w:pPr>
        <w:spacing w:after="0" w:line="2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20"/>
          <w:szCs w:val="20"/>
          <w:color w:val="auto"/>
        </w:rPr>
        <w:t>General Partner</w:t>
      </w:r>
    </w:p>
    <w:p>
      <w:pPr>
        <w:ind w:left="100"/>
        <w:spacing w:after="0"/>
        <w:tabs>
          <w:tab w:leader="none" w:pos="640" w:val="left"/>
        </w:tabs>
        <w:rPr>
          <w:sz w:val="20"/>
          <w:szCs w:val="20"/>
          <w:color w:val="auto"/>
        </w:rPr>
      </w:pPr>
      <w:r>
        <w:rPr>
          <w:rFonts w:ascii="Times New Roman" w:cs="Times New Roman" w:eastAsia="Times New Roman" w:hAnsi="Times New Roman"/>
          <w:sz w:val="20"/>
          <w:szCs w:val="20"/>
          <w:color w:val="auto"/>
        </w:rPr>
        <w:t>By:</w:t>
        <w:tab/>
        <w:t xml:space="preserve">/s/ </w:t>
      </w:r>
      <w:r>
        <w:rPr>
          <w:rFonts w:ascii="Times New Roman" w:cs="Times New Roman" w:eastAsia="Times New Roman" w:hAnsi="Times New Roman"/>
          <w:sz w:val="20"/>
          <w:szCs w:val="20"/>
          <w:i w:val="1"/>
          <w:iCs w:val="1"/>
          <w:color w:val="auto"/>
        </w:rPr>
        <w:t>Andrew Nelson</w:t>
      </w:r>
    </w:p>
    <w:p>
      <w:pPr>
        <w:sectPr>
          <w:pgSz w:w="11900" w:h="16838" w:orient="portrait"/>
          <w:cols w:equalWidth="0" w:num="1">
            <w:col w:w="11180"/>
          </w:cols>
          <w:pgMar w:left="320" w:top="229" w:right="399" w:bottom="1440" w:gutter="0" w:footer="0" w:header="0"/>
        </w:sectPr>
      </w:pPr>
    </w:p>
    <w:p>
      <w:pPr>
        <w:ind w:left="660"/>
        <w:spacing w:after="0"/>
        <w:rPr>
          <w:sz w:val="20"/>
          <w:szCs w:val="20"/>
          <w:color w:val="auto"/>
        </w:rPr>
      </w:pPr>
      <w:r>
        <w:rPr>
          <w:rFonts w:ascii="Times New Roman" w:cs="Times New Roman" w:eastAsia="Times New Roman" w:hAnsi="Times New Roman"/>
          <w:sz w:val="20"/>
          <w:szCs w:val="20"/>
          <w:color w:val="auto"/>
        </w:rPr>
        <w:t>Andrew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-144780</wp:posOffset>
            </wp:positionV>
            <wp:extent cx="31375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9"/>
          <w:szCs w:val="19"/>
          <w:color w:val="auto"/>
        </w:rPr>
        <w:t>Chief Operating Officer and CFO</w:t>
      </w:r>
    </w:p>
    <w:p>
      <w:pPr>
        <w:spacing w:after="0" w:line="2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BERYL CAPITAL PARTNERS II LP</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Beryl Capital Management 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General Partner</w:t>
      </w:r>
    </w:p>
    <w:p>
      <w:pPr>
        <w:spacing w:after="0" w:line="221" w:lineRule="exact"/>
        <w:rPr>
          <w:sz w:val="20"/>
          <w:szCs w:val="20"/>
          <w:color w:val="auto"/>
        </w:rPr>
      </w:pPr>
    </w:p>
    <w:p>
      <w:pPr>
        <w:ind w:left="100" w:right="1860"/>
        <w:spacing w:after="0" w:line="269" w:lineRule="auto"/>
        <w:rPr>
          <w:sz w:val="20"/>
          <w:szCs w:val="20"/>
          <w:color w:val="auto"/>
        </w:rPr>
      </w:pPr>
      <w:r>
        <w:rPr>
          <w:rFonts w:ascii="Times New Roman" w:cs="Times New Roman" w:eastAsia="Times New Roman" w:hAnsi="Times New Roman"/>
          <w:sz w:val="20"/>
          <w:szCs w:val="20"/>
          <w:color w:val="auto"/>
        </w:rPr>
        <w:t>By: Beryl Capital Management LLC General Partner</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Andrew Nelson</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Andrew Nelson</w:t>
      </w:r>
    </w:p>
    <w:p>
      <w:pPr>
        <w:ind w:left="660"/>
        <w:spacing w:after="0"/>
        <w:rPr>
          <w:sz w:val="20"/>
          <w:szCs w:val="20"/>
          <w:color w:val="auto"/>
        </w:rPr>
      </w:pPr>
      <w:r>
        <w:rPr>
          <w:rFonts w:ascii="Times New Roman" w:cs="Times New Roman" w:eastAsia="Times New Roman" w:hAnsi="Times New Roman"/>
          <w:sz w:val="20"/>
          <w:szCs w:val="20"/>
          <w:color w:val="auto"/>
        </w:rPr>
        <w:t>Chief Operating Officer</w:t>
      </w:r>
    </w:p>
    <w:p>
      <w:pPr>
        <w:spacing w:after="0" w:line="20" w:lineRule="exact"/>
        <w:rPr>
          <w:sz w:val="20"/>
          <w:szCs w:val="20"/>
          <w:color w:val="auto"/>
        </w:rPr>
      </w:pPr>
      <w:r>
        <w:rPr>
          <w:sz w:val="20"/>
          <w:szCs w:val="20"/>
          <w:color w:val="auto"/>
        </w:rPr>
        <w:br w:type="column"/>
      </w:r>
    </w:p>
    <w:p>
      <w:pPr>
        <w:ind w:left="820"/>
        <w:spacing w:after="0"/>
        <w:tabs>
          <w:tab w:leader="none" w:pos="14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0"/>
          <w:szCs w:val="20"/>
          <w:i w:val="1"/>
          <w:iCs w:val="1"/>
          <w:color w:val="auto"/>
        </w:rPr>
        <w:t>Andrew Nelson</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Andrew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-140335</wp:posOffset>
            </wp:positionV>
            <wp:extent cx="27089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jc w:val="right"/>
        <w:ind w:right="1440"/>
        <w:spacing w:after="0"/>
        <w:rPr>
          <w:sz w:val="20"/>
          <w:szCs w:val="20"/>
          <w:color w:val="auto"/>
        </w:rPr>
      </w:pPr>
      <w:r>
        <w:rPr>
          <w:rFonts w:ascii="Times New Roman" w:cs="Times New Roman" w:eastAsia="Times New Roman" w:hAnsi="Times New Roman"/>
          <w:sz w:val="20"/>
          <w:szCs w:val="20"/>
          <w:color w:val="auto"/>
        </w:rPr>
        <w:t>Chief Operating Officer and CFO</w:t>
      </w:r>
    </w:p>
    <w:p>
      <w:pPr>
        <w:spacing w:after="0" w:line="200" w:lineRule="exact"/>
        <w:rPr>
          <w:sz w:val="20"/>
          <w:szCs w:val="20"/>
          <w:color w:val="auto"/>
        </w:rPr>
      </w:pPr>
    </w:p>
    <w:p>
      <w:pPr>
        <w:spacing w:after="0" w:line="23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0"/>
          <w:szCs w:val="20"/>
          <w:i w:val="1"/>
          <w:iCs w:val="1"/>
          <w:color w:val="auto"/>
        </w:rPr>
        <w:t>David A. Witkin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16510</wp:posOffset>
            </wp:positionV>
            <wp:extent cx="3480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David A. Witkin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2">
            <w:col w:w="4860" w:space="720"/>
            <w:col w:w="5600"/>
          </w:cols>
          <w:pgMar w:left="320" w:top="229" w:right="3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CUSIP No. Y62197119</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AGREEMENT REGARDING JOINT FILING</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OF STATEMENT ON SCHEDULE 13D OR 13G</w:t>
      </w:r>
    </w:p>
    <w:p>
      <w:pPr>
        <w:spacing w:after="0" w:line="207"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The undersigned agree to file jointly with the Securities and Exchange Commission (the "SEC") any and all statements on Schedule 13D or Schedule 13G and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Beryl Capital Management,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7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Dated: February 8, 2024</w:t>
            </w:r>
          </w:p>
        </w:tc>
        <w:tc>
          <w:tcPr>
            <w:tcW w:w="122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5760" w:type="dxa"/>
            <w:vAlign w:val="bottom"/>
            <w:gridSpan w:val="5"/>
          </w:tcPr>
          <w:p>
            <w:pPr>
              <w:ind w:left="100"/>
              <w:spacing w:after="0"/>
              <w:rPr>
                <w:sz w:val="20"/>
                <w:szCs w:val="20"/>
                <w:color w:val="auto"/>
              </w:rPr>
            </w:pPr>
            <w:r>
              <w:rPr>
                <w:rFonts w:ascii="Times New Roman" w:cs="Times New Roman" w:eastAsia="Times New Roman" w:hAnsi="Times New Roman"/>
                <w:sz w:val="20"/>
                <w:szCs w:val="20"/>
                <w:b w:val="1"/>
                <w:bCs w:val="1"/>
                <w:color w:val="auto"/>
              </w:rPr>
              <w:t>BERYL CAPITAL MANAGEMENT LLC</w:t>
            </w: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BERYL CAPITAL MANAGEMENT LP</w:t>
            </w:r>
          </w:p>
        </w:tc>
        <w:tc>
          <w:tcPr>
            <w:tcW w:w="0" w:type="dxa"/>
            <w:vAlign w:val="bottom"/>
          </w:tcPr>
          <w:p>
            <w:pPr>
              <w:spacing w:after="0"/>
              <w:rPr>
                <w:sz w:val="1"/>
                <w:szCs w:val="1"/>
                <w:color w:val="auto"/>
              </w:rPr>
            </w:pPr>
          </w:p>
        </w:tc>
      </w:tr>
      <w:tr>
        <w:trPr>
          <w:trHeight w:val="430"/>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By:   Beryl Capital Management LLC</w:t>
            </w:r>
          </w:p>
        </w:tc>
        <w:tc>
          <w:tcPr>
            <w:tcW w:w="0" w:type="dxa"/>
            <w:vAlign w:val="bottom"/>
          </w:tcPr>
          <w:p>
            <w:pPr>
              <w:spacing w:after="0"/>
              <w:rPr>
                <w:sz w:val="1"/>
                <w:szCs w:val="1"/>
                <w:color w:val="auto"/>
              </w:rPr>
            </w:pPr>
          </w:p>
        </w:tc>
      </w:tr>
      <w:tr>
        <w:trPr>
          <w:trHeight w:val="258"/>
        </w:trPr>
        <w:tc>
          <w:tcPr>
            <w:tcW w:w="5760" w:type="dxa"/>
            <w:vAlign w:val="bottom"/>
            <w:gridSpan w:val="5"/>
            <w:vMerge w:val="restart"/>
          </w:tcPr>
          <w:p>
            <w:pPr>
              <w:ind w:left="100"/>
              <w:spacing w:after="0"/>
              <w:rPr>
                <w:sz w:val="20"/>
                <w:szCs w:val="20"/>
                <w:color w:val="auto"/>
              </w:rPr>
            </w:pPr>
            <w:r>
              <w:rPr>
                <w:rFonts w:ascii="Times New Roman" w:cs="Times New Roman" w:eastAsia="Times New Roman" w:hAnsi="Times New Roman"/>
                <w:sz w:val="20"/>
                <w:szCs w:val="20"/>
                <w:color w:val="auto"/>
              </w:rPr>
              <w:t xml:space="preserve">By:   /s/ </w:t>
            </w:r>
            <w:r>
              <w:rPr>
                <w:rFonts w:ascii="Times New Roman" w:cs="Times New Roman" w:eastAsia="Times New Roman" w:hAnsi="Times New Roman"/>
                <w:sz w:val="20"/>
                <w:szCs w:val="20"/>
                <w:i w:val="1"/>
                <w:iCs w:val="1"/>
                <w:color w:val="auto"/>
              </w:rPr>
              <w:t>Andrew Nelson</w:t>
            </w:r>
          </w:p>
        </w:tc>
        <w:tc>
          <w:tcPr>
            <w:tcW w:w="548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General Partner</w:t>
            </w:r>
          </w:p>
        </w:tc>
        <w:tc>
          <w:tcPr>
            <w:tcW w:w="0" w:type="dxa"/>
            <w:vAlign w:val="bottom"/>
          </w:tcPr>
          <w:p>
            <w:pPr>
              <w:spacing w:after="0"/>
              <w:rPr>
                <w:sz w:val="1"/>
                <w:szCs w:val="1"/>
                <w:color w:val="auto"/>
              </w:rPr>
            </w:pPr>
          </w:p>
        </w:tc>
      </w:tr>
      <w:tr>
        <w:trPr>
          <w:trHeight w:val="223"/>
        </w:trPr>
        <w:tc>
          <w:tcPr>
            <w:tcW w:w="5760" w:type="dxa"/>
            <w:vAlign w:val="bottom"/>
            <w:gridSpan w:val="5"/>
            <w:vMerge w:val="continue"/>
          </w:tcPr>
          <w:p>
            <w:pPr>
              <w:spacing w:after="0"/>
              <w:rPr>
                <w:sz w:val="19"/>
                <w:szCs w:val="19"/>
                <w:color w:val="auto"/>
              </w:rPr>
            </w:pPr>
          </w:p>
        </w:tc>
        <w:tc>
          <w:tcPr>
            <w:tcW w:w="5480" w:type="dxa"/>
            <w:vAlign w:val="bottom"/>
            <w:gridSpan w:val="2"/>
            <w:vMerge w:val="restart"/>
          </w:tcPr>
          <w:p>
            <w:pPr>
              <w:ind w:left="640"/>
              <w:spacing w:after="0"/>
              <w:rPr>
                <w:sz w:val="20"/>
                <w:szCs w:val="20"/>
                <w:color w:val="auto"/>
              </w:rPr>
            </w:pPr>
            <w:r>
              <w:rPr>
                <w:rFonts w:ascii="Times New Roman" w:cs="Times New Roman" w:eastAsia="Times New Roman" w:hAnsi="Times New Roman"/>
                <w:sz w:val="20"/>
                <w:szCs w:val="20"/>
                <w:color w:val="auto"/>
                <w:w w:val="98"/>
              </w:rPr>
              <w:t xml:space="preserve">By:/s/ </w:t>
            </w:r>
            <w:r>
              <w:rPr>
                <w:rFonts w:ascii="Times New Roman" w:cs="Times New Roman" w:eastAsia="Times New Roman" w:hAnsi="Times New Roman"/>
                <w:sz w:val="20"/>
                <w:szCs w:val="20"/>
                <w:i w:val="1"/>
                <w:iCs w:val="1"/>
                <w:color w:val="auto"/>
                <w:w w:val="98"/>
              </w:rPr>
              <w:t>Andrew Nelson</w:t>
            </w:r>
          </w:p>
        </w:tc>
        <w:tc>
          <w:tcPr>
            <w:tcW w:w="0" w:type="dxa"/>
            <w:vAlign w:val="bottom"/>
          </w:tcPr>
          <w:p>
            <w:pPr>
              <w:spacing w:after="0"/>
              <w:rPr>
                <w:sz w:val="1"/>
                <w:szCs w:val="1"/>
                <w:color w:val="auto"/>
              </w:rPr>
            </w:pPr>
          </w:p>
        </w:tc>
      </w:tr>
      <w:tr>
        <w:trPr>
          <w:trHeight w:val="200"/>
        </w:trPr>
        <w:tc>
          <w:tcPr>
            <w:tcW w:w="560" w:type="dxa"/>
            <w:vAlign w:val="bottom"/>
          </w:tcPr>
          <w:p>
            <w:pPr>
              <w:spacing w:after="0"/>
              <w:rPr>
                <w:sz w:val="17"/>
                <w:szCs w:val="17"/>
                <w:color w:val="auto"/>
              </w:rPr>
            </w:pPr>
          </w:p>
        </w:tc>
        <w:tc>
          <w:tcPr>
            <w:tcW w:w="4940" w:type="dxa"/>
            <w:vAlign w:val="bottom"/>
            <w:tcBorders>
              <w:top w:val="single" w:sz="8" w:color="auto"/>
            </w:tcBorders>
            <w:gridSpan w:val="3"/>
          </w:tcPr>
          <w:p>
            <w:pPr>
              <w:ind w:left="100"/>
              <w:spacing w:after="0" w:line="200" w:lineRule="exact"/>
              <w:rPr>
                <w:sz w:val="20"/>
                <w:szCs w:val="20"/>
                <w:color w:val="auto"/>
              </w:rPr>
            </w:pPr>
            <w:r>
              <w:rPr>
                <w:rFonts w:ascii="Times New Roman" w:cs="Times New Roman" w:eastAsia="Times New Roman" w:hAnsi="Times New Roman"/>
                <w:sz w:val="20"/>
                <w:szCs w:val="20"/>
                <w:color w:val="auto"/>
              </w:rPr>
              <w:t>Andrew Nelson</w:t>
            </w:r>
          </w:p>
        </w:tc>
        <w:tc>
          <w:tcPr>
            <w:tcW w:w="260" w:type="dxa"/>
            <w:vAlign w:val="bottom"/>
          </w:tcPr>
          <w:p>
            <w:pPr>
              <w:spacing w:after="0"/>
              <w:rPr>
                <w:sz w:val="17"/>
                <w:szCs w:val="17"/>
                <w:color w:val="auto"/>
              </w:rPr>
            </w:pPr>
          </w:p>
        </w:tc>
        <w:tc>
          <w:tcPr>
            <w:tcW w:w="5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60" w:type="dxa"/>
            <w:vAlign w:val="bottom"/>
            <w:vMerge w:val="restart"/>
          </w:tcPr>
          <w:p>
            <w:pPr>
              <w:spacing w:after="0" w:line="20" w:lineRule="exact"/>
              <w:rPr>
                <w:sz w:val="1"/>
                <w:szCs w:val="1"/>
                <w:color w:val="auto"/>
              </w:rPr>
            </w:pPr>
          </w:p>
        </w:tc>
        <w:tc>
          <w:tcPr>
            <w:tcW w:w="5200" w:type="dxa"/>
            <w:vAlign w:val="bottom"/>
            <w:gridSpan w:val="4"/>
            <w:vMerge w:val="restart"/>
          </w:tcPr>
          <w:p>
            <w:pPr>
              <w:ind w:left="100"/>
              <w:spacing w:after="0"/>
              <w:rPr>
                <w:sz w:val="20"/>
                <w:szCs w:val="20"/>
                <w:color w:val="auto"/>
              </w:rPr>
            </w:pPr>
            <w:r>
              <w:rPr>
                <w:rFonts w:ascii="Times New Roman" w:cs="Times New Roman" w:eastAsia="Times New Roman" w:hAnsi="Times New Roman"/>
                <w:sz w:val="20"/>
                <w:szCs w:val="20"/>
                <w:color w:val="auto"/>
              </w:rPr>
              <w:t>Chief Operating Officer and CFO</w:t>
            </w:r>
          </w:p>
        </w:tc>
        <w:tc>
          <w:tcPr>
            <w:tcW w:w="1220" w:type="dxa"/>
            <w:vAlign w:val="bottom"/>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60" w:type="dxa"/>
            <w:vAlign w:val="bottom"/>
            <w:vMerge w:val="continue"/>
          </w:tcPr>
          <w:p>
            <w:pPr>
              <w:spacing w:after="0"/>
              <w:rPr>
                <w:sz w:val="17"/>
                <w:szCs w:val="17"/>
                <w:color w:val="auto"/>
              </w:rPr>
            </w:pPr>
          </w:p>
        </w:tc>
        <w:tc>
          <w:tcPr>
            <w:tcW w:w="5200" w:type="dxa"/>
            <w:vAlign w:val="bottom"/>
            <w:gridSpan w:val="4"/>
            <w:vMerge w:val="continue"/>
          </w:tcPr>
          <w:p>
            <w:pPr>
              <w:spacing w:after="0"/>
              <w:rPr>
                <w:sz w:val="17"/>
                <w:szCs w:val="17"/>
                <w:color w:val="auto"/>
              </w:rPr>
            </w:pPr>
          </w:p>
        </w:tc>
        <w:tc>
          <w:tcPr>
            <w:tcW w:w="1220" w:type="dxa"/>
            <w:vAlign w:val="bottom"/>
          </w:tcPr>
          <w:p>
            <w:pPr>
              <w:spacing w:after="0"/>
              <w:rPr>
                <w:sz w:val="17"/>
                <w:szCs w:val="17"/>
                <w:color w:val="auto"/>
              </w:rPr>
            </w:pPr>
          </w:p>
        </w:tc>
        <w:tc>
          <w:tcPr>
            <w:tcW w:w="426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Andrew Nelson</w:t>
            </w:r>
          </w:p>
        </w:tc>
        <w:tc>
          <w:tcPr>
            <w:tcW w:w="0" w:type="dxa"/>
            <w:vAlign w:val="bottom"/>
          </w:tcPr>
          <w:p>
            <w:pPr>
              <w:spacing w:after="0"/>
              <w:rPr>
                <w:sz w:val="1"/>
                <w:szCs w:val="1"/>
                <w:color w:val="auto"/>
              </w:rPr>
            </w:pPr>
          </w:p>
        </w:tc>
      </w:tr>
      <w:tr>
        <w:trPr>
          <w:trHeight w:val="258"/>
        </w:trPr>
        <w:tc>
          <w:tcPr>
            <w:tcW w:w="5760" w:type="dxa"/>
            <w:vAlign w:val="bottom"/>
            <w:gridSpan w:val="5"/>
            <w:vMerge w:val="restart"/>
          </w:tcPr>
          <w:p>
            <w:pPr>
              <w:ind w:left="100"/>
              <w:spacing w:after="0"/>
              <w:rPr>
                <w:sz w:val="20"/>
                <w:szCs w:val="20"/>
                <w:color w:val="auto"/>
              </w:rPr>
            </w:pPr>
            <w:r>
              <w:rPr>
                <w:rFonts w:ascii="Times New Roman" w:cs="Times New Roman" w:eastAsia="Times New Roman" w:hAnsi="Times New Roman"/>
                <w:sz w:val="20"/>
                <w:szCs w:val="20"/>
                <w:b w:val="1"/>
                <w:bCs w:val="1"/>
                <w:color w:val="auto"/>
              </w:rPr>
              <w:t>BERYL CAPITAL PARTNERS II LP</w:t>
            </w:r>
          </w:p>
        </w:tc>
        <w:tc>
          <w:tcPr>
            <w:tcW w:w="1220" w:type="dxa"/>
            <w:vAlign w:val="bottom"/>
          </w:tcPr>
          <w:p>
            <w:pPr>
              <w:spacing w:after="0"/>
              <w:rPr>
                <w:sz w:val="22"/>
                <w:szCs w:val="22"/>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Chief Operating Officer and CFO</w:t>
            </w:r>
          </w:p>
        </w:tc>
        <w:tc>
          <w:tcPr>
            <w:tcW w:w="0" w:type="dxa"/>
            <w:vAlign w:val="bottom"/>
          </w:tcPr>
          <w:p>
            <w:pPr>
              <w:spacing w:after="0"/>
              <w:rPr>
                <w:sz w:val="1"/>
                <w:szCs w:val="1"/>
                <w:color w:val="auto"/>
              </w:rPr>
            </w:pPr>
          </w:p>
        </w:tc>
      </w:tr>
      <w:tr>
        <w:trPr>
          <w:trHeight w:val="230"/>
        </w:trPr>
        <w:tc>
          <w:tcPr>
            <w:tcW w:w="5760" w:type="dxa"/>
            <w:vAlign w:val="bottom"/>
            <w:gridSpan w:val="5"/>
            <w:vMerge w:val="continue"/>
          </w:tcPr>
          <w:p>
            <w:pPr>
              <w:spacing w:after="0"/>
              <w:rPr>
                <w:sz w:val="19"/>
                <w:szCs w:val="19"/>
                <w:color w:val="auto"/>
              </w:rPr>
            </w:pPr>
          </w:p>
        </w:tc>
        <w:tc>
          <w:tcPr>
            <w:tcW w:w="12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57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By: Beryl Capital Management LP</w:t>
            </w:r>
          </w:p>
        </w:tc>
        <w:tc>
          <w:tcPr>
            <w:tcW w:w="1220" w:type="dxa"/>
            <w:vAlign w:val="bottom"/>
          </w:tcPr>
          <w:p>
            <w:pPr>
              <w:spacing w:after="0"/>
              <w:rPr>
                <w:sz w:val="24"/>
                <w:szCs w:val="24"/>
                <w:color w:val="auto"/>
              </w:rPr>
            </w:pPr>
          </w:p>
        </w:tc>
        <w:tc>
          <w:tcPr>
            <w:tcW w:w="4260" w:type="dxa"/>
            <w:vAlign w:val="bottom"/>
          </w:tcPr>
          <w:p>
            <w:pPr>
              <w:jc w:val="center"/>
              <w:ind w:right="1121"/>
              <w:spacing w:after="0"/>
              <w:rPr>
                <w:sz w:val="20"/>
                <w:szCs w:val="20"/>
                <w:color w:val="auto"/>
              </w:rPr>
            </w:pPr>
            <w:r>
              <w:rPr>
                <w:rFonts w:ascii="Times New Roman" w:cs="Times New Roman" w:eastAsia="Times New Roman" w:hAnsi="Times New Roman"/>
                <w:sz w:val="20"/>
                <w:szCs w:val="20"/>
                <w:color w:val="auto"/>
                <w:w w:val="97"/>
              </w:rPr>
              <w:t xml:space="preserve">/s/ </w:t>
            </w:r>
            <w:r>
              <w:rPr>
                <w:rFonts w:ascii="Times New Roman" w:cs="Times New Roman" w:eastAsia="Times New Roman" w:hAnsi="Times New Roman"/>
                <w:sz w:val="20"/>
                <w:szCs w:val="20"/>
                <w:i w:val="1"/>
                <w:iCs w:val="1"/>
                <w:color w:val="auto"/>
                <w:w w:val="97"/>
              </w:rPr>
              <w:t>David A. Witkin</w:t>
            </w:r>
          </w:p>
        </w:tc>
        <w:tc>
          <w:tcPr>
            <w:tcW w:w="0" w:type="dxa"/>
            <w:vAlign w:val="bottom"/>
          </w:tcPr>
          <w:p>
            <w:pPr>
              <w:spacing w:after="0"/>
              <w:rPr>
                <w:sz w:val="1"/>
                <w:szCs w:val="1"/>
                <w:color w:val="auto"/>
              </w:rPr>
            </w:pPr>
          </w:p>
        </w:tc>
      </w:tr>
      <w:tr>
        <w:trPr>
          <w:trHeight w:val="23"/>
        </w:trPr>
        <w:tc>
          <w:tcPr>
            <w:tcW w:w="5760" w:type="dxa"/>
            <w:vAlign w:val="bottom"/>
            <w:gridSpan w:val="5"/>
            <w:vMerge w:val="restart"/>
          </w:tcPr>
          <w:p>
            <w:pPr>
              <w:spacing w:after="0"/>
              <w:rPr>
                <w:sz w:val="20"/>
                <w:szCs w:val="20"/>
                <w:color w:val="auto"/>
              </w:rPr>
            </w:pPr>
            <w:r>
              <w:rPr>
                <w:rFonts w:ascii="Times New Roman" w:cs="Times New Roman" w:eastAsia="Times New Roman" w:hAnsi="Times New Roman"/>
                <w:sz w:val="20"/>
                <w:szCs w:val="20"/>
                <w:color w:val="auto"/>
              </w:rPr>
              <w:t>General Partner</w:t>
            </w:r>
          </w:p>
        </w:tc>
        <w:tc>
          <w:tcPr>
            <w:tcW w:w="122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5760" w:type="dxa"/>
            <w:vAlign w:val="bottom"/>
            <w:gridSpan w:val="5"/>
            <w:vMerge w:val="continue"/>
          </w:tcPr>
          <w:p>
            <w:pPr>
              <w:spacing w:after="0"/>
              <w:rPr>
                <w:sz w:val="22"/>
                <w:szCs w:val="22"/>
                <w:color w:val="auto"/>
              </w:rPr>
            </w:pPr>
          </w:p>
        </w:tc>
        <w:tc>
          <w:tcPr>
            <w:tcW w:w="1220" w:type="dxa"/>
            <w:vAlign w:val="bottom"/>
          </w:tcPr>
          <w:p>
            <w:pPr>
              <w:spacing w:after="0"/>
              <w:rPr>
                <w:sz w:val="22"/>
                <w:szCs w:val="22"/>
                <w:color w:val="auto"/>
              </w:rPr>
            </w:pPr>
          </w:p>
        </w:tc>
        <w:tc>
          <w:tcPr>
            <w:tcW w:w="4260" w:type="dxa"/>
            <w:vAlign w:val="bottom"/>
          </w:tcPr>
          <w:p>
            <w:pPr>
              <w:jc w:val="center"/>
              <w:ind w:right="1121"/>
              <w:spacing w:after="0"/>
              <w:rPr>
                <w:sz w:val="20"/>
                <w:szCs w:val="20"/>
                <w:color w:val="auto"/>
              </w:rPr>
            </w:pPr>
            <w:r>
              <w:rPr>
                <w:rFonts w:ascii="Times New Roman" w:cs="Times New Roman" w:eastAsia="Times New Roman" w:hAnsi="Times New Roman"/>
                <w:sz w:val="20"/>
                <w:szCs w:val="20"/>
                <w:b w:val="1"/>
                <w:bCs w:val="1"/>
                <w:color w:val="auto"/>
                <w:w w:val="99"/>
              </w:rPr>
              <w:t>David A. Witkin</w:t>
            </w:r>
          </w:p>
        </w:tc>
        <w:tc>
          <w:tcPr>
            <w:tcW w:w="0" w:type="dxa"/>
            <w:vAlign w:val="bottom"/>
          </w:tcPr>
          <w:p>
            <w:pPr>
              <w:spacing w:after="0"/>
              <w:rPr>
                <w:sz w:val="1"/>
                <w:szCs w:val="1"/>
                <w:color w:val="auto"/>
              </w:rPr>
            </w:pPr>
          </w:p>
        </w:tc>
      </w:tr>
      <w:tr>
        <w:trPr>
          <w:trHeight w:val="403"/>
        </w:trPr>
        <w:tc>
          <w:tcPr>
            <w:tcW w:w="576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By: Beryl Capital Management LLC</w:t>
            </w:r>
          </w:p>
        </w:tc>
        <w:tc>
          <w:tcPr>
            <w:tcW w:w="12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76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General Partner</w:t>
            </w:r>
          </w:p>
        </w:tc>
        <w:tc>
          <w:tcPr>
            <w:tcW w:w="122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560" w:type="dxa"/>
            <w:vAlign w:val="bottom"/>
          </w:tcPr>
          <w:p>
            <w:pPr>
              <w:spacing w:after="0"/>
              <w:rPr>
                <w:sz w:val="24"/>
                <w:szCs w:val="24"/>
                <w:color w:val="auto"/>
              </w:rPr>
            </w:pPr>
          </w:p>
        </w:tc>
        <w:tc>
          <w:tcPr>
            <w:tcW w:w="52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 xml:space="preserve">By:/s/ </w:t>
            </w:r>
            <w:r>
              <w:rPr>
                <w:rFonts w:ascii="Times New Roman" w:cs="Times New Roman" w:eastAsia="Times New Roman" w:hAnsi="Times New Roman"/>
                <w:sz w:val="20"/>
                <w:szCs w:val="20"/>
                <w:i w:val="1"/>
                <w:iCs w:val="1"/>
                <w:color w:val="auto"/>
              </w:rPr>
              <w:t>Andrew Nelson</w:t>
            </w:r>
          </w:p>
        </w:tc>
        <w:tc>
          <w:tcPr>
            <w:tcW w:w="12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60" w:type="dxa"/>
            <w:vAlign w:val="bottom"/>
          </w:tcPr>
          <w:p>
            <w:pPr>
              <w:spacing w:after="0"/>
              <w:rPr>
                <w:sz w:val="19"/>
                <w:szCs w:val="19"/>
                <w:color w:val="auto"/>
              </w:rPr>
            </w:pPr>
          </w:p>
        </w:tc>
        <w:tc>
          <w:tcPr>
            <w:tcW w:w="5200" w:type="dxa"/>
            <w:vAlign w:val="bottom"/>
            <w:gridSpan w:val="4"/>
          </w:tcPr>
          <w:p>
            <w:pPr>
              <w:ind w:left="100"/>
              <w:spacing w:after="0" w:line="228" w:lineRule="exact"/>
              <w:rPr>
                <w:sz w:val="20"/>
                <w:szCs w:val="20"/>
                <w:color w:val="auto"/>
              </w:rPr>
            </w:pPr>
            <w:r>
              <w:rPr>
                <w:rFonts w:ascii="Times New Roman" w:cs="Times New Roman" w:eastAsia="Times New Roman" w:hAnsi="Times New Roman"/>
                <w:sz w:val="20"/>
                <w:szCs w:val="20"/>
                <w:color w:val="auto"/>
              </w:rPr>
              <w:t>Andrew Nelson</w:t>
            </w:r>
          </w:p>
        </w:tc>
        <w:tc>
          <w:tcPr>
            <w:tcW w:w="12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60" w:type="dxa"/>
            <w:vAlign w:val="bottom"/>
          </w:tcPr>
          <w:p>
            <w:pPr>
              <w:spacing w:after="0"/>
              <w:rPr>
                <w:sz w:val="22"/>
                <w:szCs w:val="22"/>
                <w:color w:val="auto"/>
              </w:rPr>
            </w:pPr>
          </w:p>
        </w:tc>
        <w:tc>
          <w:tcPr>
            <w:tcW w:w="52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Chief Operating Officer</w:t>
            </w:r>
          </w:p>
        </w:tc>
        <w:tc>
          <w:tcPr>
            <w:tcW w:w="122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abstractNum>
  <w:abstractNum w:abstractNumId="2">
    <w:nsid w:val="41B71EFB"/>
    <w:multiLevelType w:val="hybridMultilevel"/>
    <w:lvl w:ilvl="0">
      <w:lvlJc w:val="left"/>
      <w:lvlText w:val="%1."/>
      <w:numFmt w:val="decimal"/>
      <w:start w:val="9"/>
    </w:lvl>
  </w:abstractNum>
  <w:abstractNum w:abstractNumId="3">
    <w:nsid w:val="79E2A9E3"/>
    <w:multiLevelType w:val="hybridMultilevel"/>
    <w:lvl w:ilvl="0">
      <w:lvlJc w:val="left"/>
      <w:lvlText w:val="%1."/>
      <w:numFmt w:val="decimal"/>
      <w:start w:val="1"/>
    </w:lvl>
    <w:lvl w:ilvl="1">
      <w:lvlJc w:val="left"/>
      <w:lvlText w:val="(%2)"/>
      <w:numFmt w:val="lowerLetter"/>
      <w:start w:val="1"/>
    </w:lvl>
  </w:abstractNum>
  <w:abstractNum w:abstractNumId="4">
    <w:nsid w:val="7545E146"/>
    <w:multiLevelType w:val="hybridMultilevel"/>
    <w:lvl w:ilvl="0">
      <w:lvlJc w:val="left"/>
      <w:lvlText w:val="%1."/>
      <w:numFmt w:val="decimal"/>
      <w:start w:val="9"/>
    </w:lvl>
  </w:abstractNum>
  <w:abstractNum w:abstractNumId="5">
    <w:nsid w:val="515F007C"/>
    <w:multiLevelType w:val="hybridMultilevel"/>
    <w:lvl w:ilvl="0">
      <w:lvlJc w:val="left"/>
      <w:lvlText w:val="%1."/>
      <w:numFmt w:val="decimal"/>
      <w:start w:val="1"/>
    </w:lvl>
    <w:lvl w:ilvl="1">
      <w:lvlJc w:val="left"/>
      <w:lvlText w:val="(%2)"/>
      <w:numFmt w:val="lowerLetter"/>
      <w:start w:val="1"/>
    </w:lvl>
  </w:abstractNum>
  <w:abstractNum w:abstractNumId="6">
    <w:nsid w:val="5BD062C2"/>
    <w:multiLevelType w:val="hybridMultilevel"/>
    <w:lvl w:ilvl="0">
      <w:lvlJc w:val="left"/>
      <w:lvlText w:val="%1."/>
      <w:numFmt w:val="decimal"/>
      <w:start w:val="9"/>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9"/>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2024-02-08T17:42:08Z</dcterms:created>
  <dcterms:modified xsi:type="dcterms:W3CDTF">2024-02-08T17:42:08Z</dcterms:modified>
</cp:coreProperties>
</file>